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69" w:rsidRDefault="00265269" w:rsidP="00265269">
      <w:pPr>
        <w:pStyle w:val="NormalWeb"/>
        <w:widowControl/>
        <w:spacing w:line="560" w:lineRule="exact"/>
        <w:jc w:val="both"/>
        <w:rPr>
          <w:rFonts w:ascii="黑体" w:eastAsia="黑体" w:hAnsi="黑体" w:cs="黑体" w:hint="eastAsia"/>
          <w:sz w:val="32"/>
          <w:szCs w:val="32"/>
        </w:rPr>
      </w:pPr>
      <w:r>
        <w:rPr>
          <w:rFonts w:ascii="黑体" w:eastAsia="黑体" w:hAnsi="黑体" w:cs="黑体" w:hint="eastAsia"/>
          <w:color w:val="000000"/>
          <w:sz w:val="32"/>
          <w:szCs w:val="32"/>
        </w:rPr>
        <w:t>附件2</w:t>
      </w:r>
    </w:p>
    <w:p w:rsidR="00265269" w:rsidRDefault="00265269" w:rsidP="00265269">
      <w:pPr>
        <w:pStyle w:val="NormalWeb"/>
        <w:widowControl/>
        <w:spacing w:line="560" w:lineRule="exact"/>
        <w:jc w:val="center"/>
        <w:rPr>
          <w:rStyle w:val="a3"/>
          <w:rFonts w:ascii="小标宋" w:eastAsia="小标宋" w:hAnsi="小标宋" w:cs="小标宋" w:hint="eastAsia"/>
          <w:color w:val="000000"/>
          <w:sz w:val="44"/>
          <w:szCs w:val="44"/>
        </w:rPr>
      </w:pPr>
      <w:bookmarkStart w:id="0" w:name="_GoBack"/>
      <w:r>
        <w:rPr>
          <w:rStyle w:val="a3"/>
          <w:rFonts w:ascii="小标宋" w:eastAsia="小标宋" w:hAnsi="小标宋" w:cs="小标宋" w:hint="eastAsia"/>
          <w:color w:val="000000"/>
          <w:sz w:val="44"/>
          <w:szCs w:val="44"/>
        </w:rPr>
        <w:t>超过一定规模的危险性较大的分部</w:t>
      </w:r>
    </w:p>
    <w:p w:rsidR="00265269" w:rsidRDefault="00265269" w:rsidP="00265269">
      <w:pPr>
        <w:pStyle w:val="NormalWeb"/>
        <w:widowControl/>
        <w:spacing w:line="560" w:lineRule="exact"/>
        <w:jc w:val="center"/>
        <w:rPr>
          <w:rFonts w:ascii="小标宋" w:eastAsia="小标宋" w:hAnsi="小标宋" w:cs="小标宋" w:hint="eastAsia"/>
          <w:sz w:val="44"/>
          <w:szCs w:val="44"/>
        </w:rPr>
      </w:pPr>
      <w:r>
        <w:rPr>
          <w:rStyle w:val="a3"/>
          <w:rFonts w:ascii="小标宋" w:eastAsia="小标宋" w:hAnsi="小标宋" w:cs="小标宋" w:hint="eastAsia"/>
          <w:color w:val="000000"/>
          <w:sz w:val="44"/>
          <w:szCs w:val="44"/>
        </w:rPr>
        <w:t>分项工程范围</w:t>
      </w:r>
    </w:p>
    <w:bookmarkEnd w:id="0"/>
    <w:p w:rsidR="00265269" w:rsidRDefault="00265269" w:rsidP="00265269">
      <w:pPr>
        <w:pStyle w:val="NormalWeb"/>
        <w:widowControl/>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 xml:space="preserve">　　</w:t>
      </w:r>
    </w:p>
    <w:p w:rsidR="00265269" w:rsidRDefault="00265269" w:rsidP="00265269">
      <w:pPr>
        <w:pStyle w:val="NormalWeb"/>
        <w:widowControl/>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一、深基坑工程</w:t>
      </w:r>
    </w:p>
    <w:p w:rsidR="00265269" w:rsidRDefault="00265269" w:rsidP="00265269">
      <w:pPr>
        <w:pStyle w:val="NormalWeb"/>
        <w:widowControl/>
        <w:spacing w:line="560" w:lineRule="exact"/>
        <w:ind w:firstLine="630"/>
        <w:rPr>
          <w:rFonts w:ascii="仿宋_GB2312" w:eastAsia="仿宋_GB2312" w:hAnsi="仿宋_GB2312" w:cs="仿宋_GB2312" w:hint="eastAsia"/>
          <w:color w:val="000000"/>
          <w:sz w:val="32"/>
          <w:szCs w:val="32"/>
        </w:rPr>
      </w:pPr>
      <w:r>
        <w:rPr>
          <w:rFonts w:ascii="仿宋" w:eastAsia="仿宋" w:hAnsi="仿宋" w:cs="仿宋" w:hint="eastAsia"/>
          <w:color w:val="000000"/>
          <w:sz w:val="32"/>
          <w:szCs w:val="32"/>
        </w:rPr>
        <w:t>（一）</w:t>
      </w:r>
      <w:r>
        <w:rPr>
          <w:rFonts w:ascii="仿宋_GB2312" w:eastAsia="仿宋_GB2312" w:hAnsi="仿宋_GB2312" w:cs="仿宋_GB2312" w:hint="eastAsia"/>
          <w:color w:val="000000"/>
          <w:sz w:val="32"/>
          <w:szCs w:val="32"/>
        </w:rPr>
        <w:t>开挖深度超过5m（含5m）的基坑（槽）的土方开挖、支护、降水工程。</w:t>
      </w:r>
    </w:p>
    <w:p w:rsidR="00265269" w:rsidRDefault="00265269" w:rsidP="00265269">
      <w:pPr>
        <w:pStyle w:val="NormalWeb"/>
        <w:widowControl/>
        <w:spacing w:line="56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（二）开挖深度虽未超过5m，但地质条件、周围环境和地下管线复杂，或影响毗邻建筑（构筑物）安全基坑（槽）的土方开挖、高边坡、支护、降水工程。</w:t>
      </w:r>
    </w:p>
    <w:p w:rsidR="00265269" w:rsidRDefault="00265269" w:rsidP="00265269">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二、模板工程及支撑体系</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（一）各类工具式模板工程：包括滑模、爬模、飞模、隧道模等工程。</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（二）混凝土模板支撑工程：搭设高度8m及以上，或搭设跨度18m及以上，或施工总荷载（设计值）15kN/m</w:t>
      </w:r>
      <w:r>
        <w:rPr>
          <w:rFonts w:ascii="仿宋_GB2312" w:eastAsia="仿宋_GB2312" w:hAnsi="仿宋_GB2312" w:cs="仿宋_GB2312" w:hint="eastAsia"/>
          <w:color w:val="000000"/>
          <w:sz w:val="32"/>
          <w:szCs w:val="32"/>
          <w:vertAlign w:val="superscript"/>
        </w:rPr>
        <w:t>2</w:t>
      </w:r>
      <w:r>
        <w:rPr>
          <w:rFonts w:ascii="仿宋_GB2312" w:eastAsia="仿宋_GB2312" w:hAnsi="仿宋_GB2312" w:cs="仿宋_GB2312" w:hint="eastAsia"/>
          <w:color w:val="000000"/>
          <w:sz w:val="32"/>
          <w:szCs w:val="32"/>
        </w:rPr>
        <w:t>及以上，或集中线荷载（设计值）20kN/m及以上。</w:t>
      </w:r>
    </w:p>
    <w:p w:rsidR="00265269" w:rsidRDefault="00265269" w:rsidP="00265269">
      <w:pPr>
        <w:pStyle w:val="NormalWeb"/>
        <w:widowControl/>
        <w:spacing w:line="560" w:lineRule="exact"/>
        <w:rPr>
          <w:rFonts w:ascii="仿宋" w:eastAsia="仿宋" w:hAnsi="仿宋" w:cs="仿宋"/>
          <w:sz w:val="32"/>
          <w:szCs w:val="32"/>
        </w:rPr>
      </w:pPr>
      <w:r>
        <w:rPr>
          <w:rFonts w:ascii="仿宋_GB2312" w:eastAsia="仿宋_GB2312" w:hAnsi="仿宋_GB2312" w:cs="仿宋_GB2312" w:hint="eastAsia"/>
          <w:color w:val="000000"/>
          <w:sz w:val="32"/>
          <w:szCs w:val="32"/>
        </w:rPr>
        <w:t xml:space="preserve">　　（三）承重支撑体系：用于钢结构安装等满堂支撑体系，承受单点集中荷载7kN及以上。</w:t>
      </w:r>
    </w:p>
    <w:p w:rsidR="00265269" w:rsidRDefault="00265269" w:rsidP="00265269">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三、起重吊装及起重机械安装拆卸工程</w:t>
      </w:r>
    </w:p>
    <w:p w:rsidR="00265269" w:rsidRDefault="00265269" w:rsidP="00265269">
      <w:pPr>
        <w:pStyle w:val="NormalWeb"/>
        <w:widowControl/>
        <w:spacing w:line="560" w:lineRule="exact"/>
        <w:rPr>
          <w:rFonts w:ascii="仿宋_GB2312" w:eastAsia="仿宋_GB2312" w:hAnsi="仿宋_GB2312" w:cs="仿宋_GB2312" w:hint="eastAsia"/>
          <w:color w:val="000000"/>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（一）采用非常规起重设备、方法，且单件起吊重量在100kN及以上的起重吊装工程。</w:t>
      </w:r>
    </w:p>
    <w:p w:rsidR="00265269" w:rsidRDefault="00265269" w:rsidP="00265269">
      <w:pPr>
        <w:pStyle w:val="NormalWeb"/>
        <w:widowControl/>
        <w:spacing w:line="56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（二）起重量300kN及以上，或</w:t>
      </w:r>
      <w:proofErr w:type="gramStart"/>
      <w:r>
        <w:rPr>
          <w:rFonts w:ascii="仿宋_GB2312" w:eastAsia="仿宋_GB2312" w:hAnsi="仿宋_GB2312" w:cs="仿宋_GB2312" w:hint="eastAsia"/>
          <w:color w:val="000000"/>
          <w:sz w:val="32"/>
          <w:szCs w:val="32"/>
        </w:rPr>
        <w:t>搭设总</w:t>
      </w:r>
      <w:proofErr w:type="gramEnd"/>
      <w:r>
        <w:rPr>
          <w:rFonts w:ascii="仿宋_GB2312" w:eastAsia="仿宋_GB2312" w:hAnsi="仿宋_GB2312" w:cs="仿宋_GB2312" w:hint="eastAsia"/>
          <w:color w:val="000000"/>
          <w:sz w:val="32"/>
          <w:szCs w:val="32"/>
        </w:rPr>
        <w:t>高度200m及以上，或搭设基础标高在200m及以上的起重机械安装和拆卸工程。</w:t>
      </w:r>
    </w:p>
    <w:p w:rsidR="00265269" w:rsidRDefault="00265269" w:rsidP="00265269">
      <w:pPr>
        <w:pStyle w:val="NormalWeb"/>
        <w:widowControl/>
        <w:spacing w:line="56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（三）发生严重变形或事故的起重机械的拆除工程。</w:t>
      </w:r>
    </w:p>
    <w:p w:rsidR="00265269" w:rsidRDefault="00265269" w:rsidP="00265269">
      <w:pPr>
        <w:pStyle w:val="NormalWeb"/>
        <w:widowControl/>
        <w:spacing w:line="56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（四）采用高承台、钢结构平台、利用原有建筑结构的特殊基础工程；附着距离达1.5倍制造商的设计最大值、附着</w:t>
      </w:r>
      <w:proofErr w:type="gramStart"/>
      <w:r>
        <w:rPr>
          <w:rFonts w:ascii="仿宋_GB2312" w:eastAsia="仿宋_GB2312" w:hAnsi="仿宋_GB2312" w:cs="仿宋_GB2312" w:hint="eastAsia"/>
          <w:color w:val="000000"/>
          <w:sz w:val="32"/>
          <w:szCs w:val="32"/>
        </w:rPr>
        <w:t>杆数量</w:t>
      </w:r>
      <w:proofErr w:type="gramEnd"/>
      <w:r>
        <w:rPr>
          <w:rFonts w:ascii="仿宋_GB2312" w:eastAsia="仿宋_GB2312" w:hAnsi="仿宋_GB2312" w:cs="仿宋_GB2312" w:hint="eastAsia"/>
          <w:color w:val="000000"/>
          <w:sz w:val="32"/>
          <w:szCs w:val="32"/>
        </w:rPr>
        <w:t>少于制造商的设计数量、</w:t>
      </w:r>
      <w:proofErr w:type="gramStart"/>
      <w:r>
        <w:rPr>
          <w:rFonts w:ascii="仿宋_GB2312" w:eastAsia="仿宋_GB2312" w:hAnsi="仿宋_GB2312" w:cs="仿宋_GB2312" w:hint="eastAsia"/>
          <w:color w:val="000000"/>
          <w:sz w:val="32"/>
          <w:szCs w:val="32"/>
        </w:rPr>
        <w:t>附着杆均位于</w:t>
      </w:r>
      <w:proofErr w:type="gramEnd"/>
      <w:r>
        <w:rPr>
          <w:rFonts w:ascii="仿宋_GB2312" w:eastAsia="仿宋_GB2312" w:hAnsi="仿宋_GB2312" w:cs="仿宋_GB2312" w:hint="eastAsia"/>
          <w:color w:val="000000"/>
          <w:sz w:val="32"/>
          <w:szCs w:val="32"/>
        </w:rPr>
        <w:t>垂直附着面中心线的同一侧的起重机械附着工程，以及附着杆与垂直附着面中心线之间的夹角小于15°或大于65°的塔式起重机附着工程。</w:t>
      </w:r>
    </w:p>
    <w:p w:rsidR="00265269" w:rsidRDefault="00265269" w:rsidP="00265269">
      <w:pPr>
        <w:pStyle w:val="NormalWeb"/>
        <w:widowControl/>
        <w:spacing w:line="56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四、脚手架工程</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（一）搭设高度50m及以上的落地式钢管脚手架工程。</w:t>
      </w:r>
    </w:p>
    <w:p w:rsidR="00265269" w:rsidRDefault="00265269" w:rsidP="00265269">
      <w:pPr>
        <w:pStyle w:val="NormalWeb"/>
        <w:widowControl/>
        <w:spacing w:line="56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（二）提升高度在150m及以上的附着式升降脚手架工程或附着式升降操作平台工程。</w:t>
      </w:r>
    </w:p>
    <w:p w:rsidR="00265269" w:rsidRDefault="00265269" w:rsidP="00265269">
      <w:pPr>
        <w:pStyle w:val="NormalWeb"/>
        <w:widowControl/>
        <w:spacing w:line="56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（三）分段架体搭设高度20m及以上的悬挑式脚手架工程。</w:t>
      </w:r>
    </w:p>
    <w:p w:rsidR="00265269" w:rsidRDefault="00265269" w:rsidP="00265269">
      <w:pPr>
        <w:pStyle w:val="NormalWeb"/>
        <w:widowControl/>
        <w:spacing w:line="56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（四）作业面异形、复杂的或无法按产品说明书要求安装的</w:t>
      </w:r>
      <w:proofErr w:type="gramStart"/>
      <w:r>
        <w:rPr>
          <w:rFonts w:ascii="仿宋_GB2312" w:eastAsia="仿宋_GB2312" w:hAnsi="仿宋_GB2312" w:cs="仿宋_GB2312" w:hint="eastAsia"/>
          <w:color w:val="000000"/>
          <w:sz w:val="32"/>
          <w:szCs w:val="32"/>
        </w:rPr>
        <w:t>的</w:t>
      </w:r>
      <w:proofErr w:type="gramEnd"/>
      <w:r>
        <w:rPr>
          <w:rFonts w:ascii="仿宋_GB2312" w:eastAsia="仿宋_GB2312" w:hAnsi="仿宋_GB2312" w:cs="仿宋_GB2312" w:hint="eastAsia"/>
          <w:color w:val="000000"/>
          <w:sz w:val="32"/>
          <w:szCs w:val="32"/>
        </w:rPr>
        <w:t>高处作业吊篮工程。</w:t>
      </w:r>
    </w:p>
    <w:p w:rsidR="00265269" w:rsidRDefault="00265269" w:rsidP="00265269">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五、拆除工程</w:t>
      </w:r>
    </w:p>
    <w:p w:rsidR="00265269" w:rsidRDefault="00265269" w:rsidP="00265269">
      <w:pPr>
        <w:pStyle w:val="NormalWeb"/>
        <w:widowControl/>
        <w:spacing w:line="560" w:lineRule="exact"/>
        <w:rPr>
          <w:rFonts w:ascii="仿宋_GB2312" w:eastAsia="仿宋_GB2312" w:hAnsi="仿宋_GB2312" w:cs="仿宋_GB2312" w:hint="eastAsia"/>
          <w:color w:val="000000"/>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（一）码头、桥梁、高架、烟囱、水塔或拆除中容易引起有毒有害气（液）体或粉尘扩散、易燃易爆事故发生的特殊建（构）筑物</w:t>
      </w:r>
      <w:r>
        <w:rPr>
          <w:rFonts w:ascii="黑体" w:eastAsia="黑体" w:hAnsi="黑体" w:cs="仿宋_GB2312" w:hint="eastAsia"/>
          <w:color w:val="000000"/>
          <w:sz w:val="32"/>
          <w:szCs w:val="32"/>
        </w:rPr>
        <w:t>，</w:t>
      </w:r>
      <w:r>
        <w:rPr>
          <w:rFonts w:ascii="仿宋_GB2312" w:eastAsia="仿宋_GB2312" w:hAnsi="仿宋_GB2312" w:cs="仿宋_GB2312" w:hint="eastAsia"/>
          <w:color w:val="000000"/>
          <w:sz w:val="32"/>
          <w:szCs w:val="32"/>
        </w:rPr>
        <w:t>以及周边环境复杂的拆除工程。</w:t>
      </w:r>
    </w:p>
    <w:p w:rsidR="00265269" w:rsidRDefault="00265269" w:rsidP="00265269">
      <w:pPr>
        <w:pStyle w:val="NormalWeb"/>
        <w:widowControl/>
        <w:spacing w:line="560" w:lineRule="exact"/>
        <w:rPr>
          <w:rFonts w:ascii="仿宋" w:eastAsia="仿宋" w:hAnsi="仿宋" w:cs="仿宋"/>
          <w:sz w:val="32"/>
          <w:szCs w:val="32"/>
        </w:rPr>
      </w:pPr>
      <w:r>
        <w:rPr>
          <w:rFonts w:ascii="仿宋_GB2312" w:eastAsia="仿宋_GB2312" w:hAnsi="仿宋_GB2312" w:cs="仿宋_GB2312" w:hint="eastAsia"/>
          <w:color w:val="000000"/>
          <w:sz w:val="32"/>
          <w:szCs w:val="32"/>
        </w:rPr>
        <w:t xml:space="preserve">　　（二）文物保护建筑、优秀历史建筑或历史文化风貌区影响范围内的拆除工程。</w:t>
      </w:r>
    </w:p>
    <w:p w:rsidR="00265269" w:rsidRDefault="00265269" w:rsidP="00265269">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六、暗挖工程</w:t>
      </w:r>
    </w:p>
    <w:p w:rsidR="00265269" w:rsidRDefault="00265269" w:rsidP="00265269">
      <w:pPr>
        <w:pStyle w:val="NormalWeb"/>
        <w:widowControl/>
        <w:spacing w:line="560" w:lineRule="exact"/>
        <w:rPr>
          <w:rFonts w:ascii="仿宋_GB2312" w:eastAsia="仿宋_GB2312" w:hAnsi="仿宋_GB2312" w:cs="仿宋_GB2312" w:hint="eastAsia"/>
          <w:color w:val="000000"/>
          <w:sz w:val="32"/>
          <w:szCs w:val="32"/>
        </w:rPr>
      </w:pPr>
      <w:r>
        <w:rPr>
          <w:rFonts w:ascii="仿宋" w:eastAsia="仿宋" w:hAnsi="仿宋" w:cs="仿宋" w:hint="eastAsia"/>
          <w:color w:val="000000"/>
          <w:sz w:val="32"/>
          <w:szCs w:val="32"/>
        </w:rPr>
        <w:lastRenderedPageBreak/>
        <w:t xml:space="preserve">　　</w:t>
      </w:r>
      <w:r>
        <w:rPr>
          <w:rFonts w:ascii="仿宋_GB2312" w:eastAsia="仿宋_GB2312" w:hAnsi="仿宋_GB2312" w:cs="仿宋_GB2312" w:hint="eastAsia"/>
          <w:color w:val="000000"/>
          <w:sz w:val="32"/>
          <w:szCs w:val="32"/>
        </w:rPr>
        <w:t>采用矿山法、盾构法、顶管法施工的隧道、洞室等工程。</w:t>
      </w:r>
    </w:p>
    <w:p w:rsidR="00265269" w:rsidRDefault="00265269" w:rsidP="00265269">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七、其它</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（一）施工高度50m及以上的建筑幕墙安装工程。</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（二）跨度36m及以上的钢结构安装工程，或跨度60m及以上的网架和</w:t>
      </w:r>
      <w:proofErr w:type="gramStart"/>
      <w:r>
        <w:rPr>
          <w:rFonts w:ascii="仿宋_GB2312" w:eastAsia="仿宋_GB2312" w:hAnsi="仿宋_GB2312" w:cs="仿宋_GB2312" w:hint="eastAsia"/>
          <w:color w:val="000000"/>
          <w:sz w:val="32"/>
          <w:szCs w:val="32"/>
        </w:rPr>
        <w:t>索膜</w:t>
      </w:r>
      <w:proofErr w:type="gramEnd"/>
      <w:r>
        <w:rPr>
          <w:rFonts w:ascii="仿宋_GB2312" w:eastAsia="仿宋_GB2312" w:hAnsi="仿宋_GB2312" w:cs="仿宋_GB2312" w:hint="eastAsia"/>
          <w:color w:val="000000"/>
          <w:sz w:val="32"/>
          <w:szCs w:val="32"/>
        </w:rPr>
        <w:t>结构安装工程。</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（三）开挖深度16m及以上的人工挖孔桩工程。</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（四）水下作业工程。</w:t>
      </w:r>
    </w:p>
    <w:p w:rsidR="00265269" w:rsidRDefault="00265269" w:rsidP="00265269">
      <w:pPr>
        <w:pStyle w:val="NormalWeb"/>
        <w:widowControl/>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（五）重量1000kN及以上的大型结构整体顶升、平移、转体等施工工艺。</w:t>
      </w:r>
    </w:p>
    <w:p w:rsidR="00265269" w:rsidRDefault="00265269" w:rsidP="00265269">
      <w:pPr>
        <w:pStyle w:val="NormalWeb"/>
        <w:widowControl/>
        <w:spacing w:line="56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（六）采用新技术、新工艺、新材料、新设备可能影响工程施工安全，尚无国家、行业及地方技术标准的分部分项工程。</w:t>
      </w:r>
    </w:p>
    <w:p w:rsidR="00265269" w:rsidRDefault="00265269" w:rsidP="00265269">
      <w:pPr>
        <w:pStyle w:val="NormalWeb"/>
        <w:widowControl/>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（七）建设、勘察、设计、施工、监理单位三方以上共同认定或建设主管部门及其委托的安全监督机构认定为超过一定规模的危险性较大的分部分项工程。</w:t>
      </w:r>
    </w:p>
    <w:p w:rsidR="00540A8A" w:rsidRPr="00265269" w:rsidRDefault="00540A8A"/>
    <w:sectPr w:rsidR="00540A8A" w:rsidRPr="002652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9"/>
    <w:rsid w:val="00265269"/>
    <w:rsid w:val="002D5A04"/>
    <w:rsid w:val="00540A8A"/>
    <w:rsid w:val="0062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127F8-0B93-44DD-9F6E-27C97915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3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65269"/>
    <w:rPr>
      <w:b/>
    </w:rPr>
  </w:style>
  <w:style w:type="paragraph" w:customStyle="1" w:styleId="NormalWeb">
    <w:name w:val="Normal (Web)"/>
    <w:basedOn w:val="a"/>
    <w:rsid w:val="00265269"/>
    <w:pPr>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 cheung</dc:creator>
  <cp:keywords/>
  <dc:description/>
  <cp:lastModifiedBy>jinn cheung</cp:lastModifiedBy>
  <cp:revision>1</cp:revision>
  <dcterms:created xsi:type="dcterms:W3CDTF">2019-08-09T10:04:00Z</dcterms:created>
  <dcterms:modified xsi:type="dcterms:W3CDTF">2019-08-09T10:05:00Z</dcterms:modified>
</cp:coreProperties>
</file>